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A5A52">
      <w:pPr>
        <w:pStyle w:val="Flietext"/>
        <w:rPr>
          <w:b/>
          <w:bCs/>
        </w:rPr>
      </w:pPr>
      <w:bookmarkStart w:id="0" w:name="_GoBack"/>
      <w:bookmarkEnd w:id="0"/>
      <w:r>
        <w:rPr>
          <w:b/>
          <w:bCs/>
        </w:rPr>
        <w:t>Tascam DA-6400</w:t>
      </w:r>
      <w:r>
        <w:rPr>
          <w:b/>
          <w:bCs/>
        </w:rPr>
        <w:br/>
        <w:t>64-Spur-Audiorecorder</w:t>
      </w:r>
    </w:p>
    <w:p w:rsidR="00000000" w:rsidRDefault="002A5A52">
      <w:pPr>
        <w:pStyle w:val="Flietext"/>
      </w:pPr>
    </w:p>
    <w:p w:rsidR="00000000" w:rsidRDefault="002A5A52">
      <w:pPr>
        <w:pStyle w:val="Flietext"/>
      </w:pPr>
      <w:r>
        <w:t>Recorder fü</w:t>
      </w:r>
      <w:r>
        <w:t>r die Aufnahme/Sicherung von maximal 64 Audiospuren; Aufnahme und Wiedergabe von 64 Spuren (48 kHz/24 Bit) oder 32 Spuren (96 kHz/24 Bit) im PCM-Format; Einsetzbar als synchron laufender Backup-Recorder in ProTools-Systemen; Als Aufnahmemedium dienen wartu</w:t>
      </w:r>
      <w:r>
        <w:t xml:space="preserve">ngsfreie 2,5-Zoll-SSDs von Tascam, die besonders resistent gegenüber Erschütterungen und Umwelteinflüssen sind (Näheres siehe weiter unten); Das BWF-Format ermöglicht die Speicherung von Zeitmarken direkt in den Dateien; Volle Flexibilität im Hinblick auf </w:t>
      </w:r>
      <w:r>
        <w:t>die Anschlussmöglichkeiten dank zweier Steckplätze für zusätzliche Audiointerfacekarten: (1) Separat erhältliche Interfacekarte IF-MA64/EX bietet Unterstützung für MADI-Input/Output/Thru; (2) Separat erhältliche Interfacekarte IF-MA64/BN bietet Unterstützu</w:t>
      </w:r>
      <w:r>
        <w:t>ng für MADI-Input/Output; (3) Separat erhältliche Interfacekarte IF-DA64 bietet Unterstützung für Dante-Input/Output; (4) Separat erhältliche Interfacekarte IF-AE16 bietet Unterstützung für AES/EBU-Input/Output; Analogausgänge und Unterstützung des AVB-Sta</w:t>
      </w:r>
      <w:r>
        <w:t>ndards in Planung; Nutzbar als eigenständiger Recorder: Einschalten und Aufnahme oder Wiedergabe starten; Einsetzbar als Taktquelle für die Timecode-Synchronisation; Kabelgebundene Fernsteuerung über Parallelschnittstelle; Kabelgebundene Fernsteuerung über</w:t>
      </w:r>
      <w:r>
        <w:t xml:space="preserve"> serielle Schnittstelle (RS-422, 9-polig); Eingebauter Netzwerkanschluss (1000BASE-T-Ethernet) zur Übertragung von Dateien, Fernsteuerung und Netzwerkeinbindung; SNTP-Client-Funktionalität zur automatischen Einstellung der internen Uhr über das Netzwerk; S</w:t>
      </w:r>
      <w:r>
        <w:t xml:space="preserve">ynchronisation mit Videotaktquellen (NTSC/PAL Blackburst und HDTV Tri-Level) sowie Wordclocksignalen (In/Out/Thru); iPad- und Computer-Anwendungen für die Fernbedienung verfügbar; Firmware kann über den USB-Anschluss aktualisiert werden; Leicht ablesbares </w:t>
      </w:r>
      <w:r>
        <w:t>Farb-LC-Display (320 × 120 Pixel); 3-poliger IEC-Netzanschluss; Redundante Stromversorgung eingebaut (nur DA-6400dp); Genormte Abmessungen für den Rackeinbau (1 HE)</w:t>
      </w:r>
    </w:p>
    <w:p w:rsidR="00000000" w:rsidRDefault="002A5A52">
      <w:pPr>
        <w:pStyle w:val="Flietext"/>
      </w:pPr>
      <w:r>
        <w:t>Tascam-SSD: 2,5-Zoll-Serial-ATA-SSD mit 250 GB; Spezielle Controllerschaltung für störungsf</w:t>
      </w:r>
      <w:r>
        <w:t xml:space="preserve">reien, zuverlässigen Betrieb; SSD wurde mit dem DA-6400 getestet; 1 Stück im Lieferumfang enthalten; Weitere Laufwerke können zusätzlich erworben werden; Verfügbare Gesamtaufnahmezeit: 7 h 12 min (48 kHz/24 Bit, 64 Spuren); </w:t>
      </w:r>
    </w:p>
    <w:p w:rsidR="00000000" w:rsidRDefault="002A5A52">
      <w:pPr>
        <w:pStyle w:val="Flietext"/>
      </w:pPr>
      <w:r>
        <w:t>AK-CC25 (Wechselrahmen für SSDs</w:t>
      </w:r>
      <w:r>
        <w:t xml:space="preserve"> der DA-6400-Serie); Bietet Platz für eine 2,5-Zoll-Serial-ATA-SSD; Kann mit installiertem Datenträger direkt in den frontseitigen Einschubschacht des Recorders eingelegt oder via USB mit einem Computer verbunden werden; Einlegen oder Entnehmen des AK-CC25</w:t>
      </w:r>
      <w:r>
        <w:t xml:space="preserve"> mit Datenträger ist auch im laufendem Betrieb des DA-6400 möglich (Hot Swapping); USB-3.0-Schnittstelle für höchste Datenübertragungsraten; Anzeigelämpchen für Lese-/Schreibzugriff; Ein Wechselrahmen ist im Lieferumfang des DA-6400/DA-6400dp enthalten; we</w:t>
      </w:r>
      <w:r>
        <w:t>itere AK-CC25 können zusätzlich erworben werden.</w:t>
      </w:r>
    </w:p>
    <w:p w:rsidR="00000000" w:rsidRDefault="002A5A52">
      <w:pPr>
        <w:pStyle w:val="Flietext"/>
      </w:pPr>
    </w:p>
    <w:p w:rsidR="00000000" w:rsidRDefault="002A5A52">
      <w:pPr>
        <w:pStyle w:val="TDHeader"/>
        <w:rPr>
          <w:rFonts w:eastAsia="MS Mincho"/>
        </w:rPr>
      </w:pPr>
      <w:r>
        <w:rPr>
          <w:rFonts w:eastAsia="MS Mincho"/>
        </w:rPr>
        <w:t>Technische Daten</w:t>
      </w:r>
    </w:p>
    <w:p w:rsidR="00000000" w:rsidRDefault="002A5A52">
      <w:pPr>
        <w:pStyle w:val="TDHeader"/>
        <w:rPr>
          <w:rFonts w:eastAsia="MS Mincho"/>
        </w:rPr>
      </w:pPr>
      <w:r>
        <w:rPr>
          <w:rFonts w:eastAsia="MS Mincho"/>
        </w:rPr>
        <w:t xml:space="preserve">Allgemein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Aufnahmemedium </w:t>
      </w:r>
      <w:r>
        <w:rPr>
          <w:rFonts w:eastAsia="MS Mincho"/>
        </w:rPr>
        <w:tab/>
        <w:t xml:space="preserve">SSD/HDD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Dateisystem </w:t>
      </w:r>
      <w:r>
        <w:rPr>
          <w:rFonts w:eastAsia="MS Mincho"/>
        </w:rPr>
        <w:tab/>
        <w:t xml:space="preserve">FAT32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Dateiformat </w:t>
      </w:r>
      <w:r>
        <w:rPr>
          <w:rFonts w:eastAsia="MS Mincho"/>
        </w:rPr>
        <w:tab/>
        <w:t xml:space="preserve">BWF (Dateinamenerweiterung WAV)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Anzahl der Audiospuren </w:t>
      </w:r>
      <w:r>
        <w:rPr>
          <w:rFonts w:eastAsia="MS Mincho"/>
        </w:rPr>
        <w:tab/>
        <w:t>bis zu 64 Spuren (Abtastrate 44,1 kHz oder 48 kHz)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ab/>
      </w:r>
      <w:r>
        <w:rPr>
          <w:rFonts w:eastAsia="MS Mincho"/>
        </w:rPr>
        <w:tab/>
        <w:t xml:space="preserve">bis zu 32 </w:t>
      </w:r>
      <w:r>
        <w:rPr>
          <w:rFonts w:eastAsia="MS Mincho"/>
        </w:rPr>
        <w:t xml:space="preserve">Spuren (Abtastrate 88,2 kHz oder 96 kHz)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Wortbreite der Quantisierung </w:t>
      </w:r>
      <w:r>
        <w:rPr>
          <w:rFonts w:eastAsia="MS Mincho"/>
        </w:rPr>
        <w:tab/>
        <w:t xml:space="preserve">16/24 Bit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Abtastraten </w:t>
      </w:r>
      <w:r>
        <w:rPr>
          <w:rFonts w:eastAsia="MS Mincho"/>
        </w:rPr>
        <w:tab/>
        <w:t xml:space="preserve">44,1 kHz, 48 kHz, 88,2 kHz, 96 kHz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Referenztakt </w:t>
      </w:r>
      <w:r>
        <w:rPr>
          <w:rFonts w:eastAsia="MS Mincho"/>
        </w:rPr>
        <w:tab/>
        <w:t xml:space="preserve">INTERNAL, WORD IN, VIDEO IN, SLOT1 IN, SLOT2 IN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Timecode-Frameraten </w:t>
      </w:r>
      <w:r>
        <w:rPr>
          <w:rFonts w:eastAsia="MS Mincho"/>
        </w:rPr>
        <w:tab/>
        <w:t>23,976F, 24F, 25F, 29.97DF, 29,97NDF, 30</w:t>
      </w:r>
      <w:r>
        <w:rPr>
          <w:rFonts w:eastAsia="MS Mincho"/>
        </w:rPr>
        <w:t xml:space="preserve">DF, 30NDF </w:t>
      </w:r>
    </w:p>
    <w:p w:rsidR="00000000" w:rsidRDefault="002A5A52">
      <w:pPr>
        <w:pStyle w:val="TD"/>
        <w:rPr>
          <w:rFonts w:eastAsia="MS Mincho"/>
        </w:rPr>
      </w:pPr>
    </w:p>
    <w:p w:rsidR="00000000" w:rsidRDefault="002A5A52">
      <w:pPr>
        <w:pStyle w:val="TDHeader"/>
        <w:rPr>
          <w:rFonts w:eastAsia="MS Mincho"/>
        </w:rPr>
      </w:pPr>
      <w:r>
        <w:rPr>
          <w:rFonts w:eastAsia="MS Mincho"/>
        </w:rPr>
        <w:t>Eingänge und Ausgänge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>Je nach installierten Interface-Karten</w:t>
      </w:r>
    </w:p>
    <w:p w:rsidR="00000000" w:rsidRDefault="002A5A52">
      <w:pPr>
        <w:pStyle w:val="TD"/>
        <w:rPr>
          <w:rFonts w:eastAsia="MS Mincho"/>
        </w:rPr>
      </w:pPr>
    </w:p>
    <w:p w:rsidR="00000000" w:rsidRDefault="002A5A52">
      <w:pPr>
        <w:pStyle w:val="TDHeader"/>
        <w:rPr>
          <w:rFonts w:eastAsia="MS Mincho"/>
        </w:rPr>
      </w:pPr>
      <w:r>
        <w:rPr>
          <w:rFonts w:eastAsia="MS Mincho"/>
        </w:rPr>
        <w:t xml:space="preserve">Analogausgang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Kopfhörerausgang (PHONES) </w:t>
      </w:r>
      <w:r>
        <w:rPr>
          <w:rFonts w:eastAsia="MS Mincho"/>
        </w:rPr>
        <w:tab/>
        <w:t xml:space="preserve">Anschlusstyp: 6,3-mm-Stereoklinkenbuchse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  Maximale Ausgangsleistung </w:t>
      </w:r>
      <w:r>
        <w:rPr>
          <w:rFonts w:eastAsia="MS Mincho"/>
        </w:rPr>
        <w:tab/>
        <w:t xml:space="preserve">45 mW + 45 mW (Verzerrung THD+N: </w:t>
      </w:r>
      <w:r>
        <w:rPr>
          <w:rFonts w:eastAsia="MS Mincho"/>
        </w:rPr>
        <w:t>≤</w:t>
      </w:r>
      <w:r>
        <w:rPr>
          <w:rFonts w:eastAsia="MS Mincho"/>
        </w:rPr>
        <w:t xml:space="preserve">0,1 % an 32 Ω) </w:t>
      </w:r>
    </w:p>
    <w:p w:rsidR="00000000" w:rsidRDefault="002A5A52">
      <w:pPr>
        <w:pStyle w:val="TD"/>
        <w:rPr>
          <w:rFonts w:eastAsia="MS Mincho"/>
        </w:rPr>
      </w:pPr>
    </w:p>
    <w:p w:rsidR="00000000" w:rsidRDefault="002A5A52">
      <w:pPr>
        <w:pStyle w:val="TDHeader"/>
        <w:rPr>
          <w:rFonts w:eastAsia="MS Mincho"/>
        </w:rPr>
      </w:pPr>
      <w:r>
        <w:rPr>
          <w:rFonts w:eastAsia="MS Mincho"/>
        </w:rPr>
        <w:t>Weitere Eingänge u</w:t>
      </w:r>
      <w:r>
        <w:rPr>
          <w:rFonts w:eastAsia="MS Mincho"/>
        </w:rPr>
        <w:t xml:space="preserve">nd Ausgänge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USB-Anschluss </w:t>
      </w:r>
      <w:r>
        <w:rPr>
          <w:rFonts w:eastAsia="MS Mincho"/>
        </w:rPr>
        <w:tab/>
        <w:t xml:space="preserve">USB 2.0, Typ-A-Buchse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lastRenderedPageBreak/>
        <w:t xml:space="preserve">  Protokoll </w:t>
      </w:r>
      <w:r>
        <w:rPr>
          <w:rFonts w:eastAsia="MS Mincho"/>
        </w:rPr>
        <w:tab/>
        <w:t xml:space="preserve">USB 2.0 Hi Speed (480 MBit/s)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Timecodeeingang (TIME CODE IN) </w:t>
      </w:r>
      <w:r>
        <w:rPr>
          <w:rFonts w:eastAsia="MS Mincho"/>
        </w:rPr>
        <w:tab/>
        <w:t xml:space="preserve">BNC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  Eingangsspannungsbereich </w:t>
      </w:r>
      <w:r>
        <w:rPr>
          <w:rFonts w:eastAsia="MS Mincho"/>
        </w:rPr>
        <w:tab/>
        <w:t xml:space="preserve">0,5–5 Vpp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  Eingangsimpedanz </w:t>
      </w:r>
      <w:r>
        <w:rPr>
          <w:rFonts w:eastAsia="MS Mincho"/>
        </w:rPr>
        <w:tab/>
        <w:t xml:space="preserve">10 kΩ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  Format </w:t>
      </w:r>
      <w:r>
        <w:rPr>
          <w:rFonts w:eastAsia="MS Mincho"/>
        </w:rPr>
        <w:tab/>
        <w:t xml:space="preserve">Entsprechend SMPTE 12M–1999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Timecodeausgang (TIME CODE OUT) </w:t>
      </w:r>
      <w:r>
        <w:rPr>
          <w:rFonts w:eastAsia="MS Mincho"/>
        </w:rPr>
        <w:tab/>
        <w:t xml:space="preserve">BNC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  Ausgangsspannung </w:t>
      </w:r>
      <w:r>
        <w:rPr>
          <w:rFonts w:eastAsia="MS Mincho"/>
        </w:rPr>
        <w:tab/>
        <w:t xml:space="preserve">2 Vpp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  Ausgangsimpedanz </w:t>
      </w:r>
      <w:r>
        <w:rPr>
          <w:rFonts w:eastAsia="MS Mincho"/>
        </w:rPr>
        <w:tab/>
        <w:t xml:space="preserve">600 Ω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  Format </w:t>
      </w:r>
      <w:r>
        <w:rPr>
          <w:rFonts w:eastAsia="MS Mincho"/>
        </w:rPr>
        <w:tab/>
        <w:t xml:space="preserve">Entsprechend SMPTE 12M–1999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Anschluss WORD/VIDEO IN </w:t>
      </w:r>
      <w:r>
        <w:rPr>
          <w:rFonts w:eastAsia="MS Mincho"/>
        </w:rPr>
        <w:tab/>
        <w:t xml:space="preserve">BNC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  Eingangsspannungsbereich </w:t>
      </w:r>
      <w:r>
        <w:rPr>
          <w:rFonts w:eastAsia="MS Mincho"/>
        </w:rPr>
        <w:tab/>
        <w:t xml:space="preserve">WORD IN: 0,5–5 Vpp, VIDEO IN: 1 Vpp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  Eingangsimpedanz </w:t>
      </w:r>
      <w:r>
        <w:rPr>
          <w:rFonts w:eastAsia="MS Mincho"/>
        </w:rPr>
        <w:tab/>
        <w:t>75 Ω ±10 %</w:t>
      </w:r>
      <w:r>
        <w:rPr>
          <w:rFonts w:eastAsia="MS Mincho"/>
        </w:rPr>
        <w:t xml:space="preserve"> (abgeschlossen)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  Eingangsfrequenz (WORD) </w:t>
      </w:r>
      <w:r>
        <w:rPr>
          <w:rFonts w:eastAsia="MS Mincho"/>
        </w:rPr>
        <w:tab/>
        <w:t xml:space="preserve">44,1 kHz, 48 kHz, 88,2 kHz, 96 kHz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  Framerate (VIDEO) </w:t>
      </w:r>
      <w:r>
        <w:rPr>
          <w:rFonts w:eastAsia="MS Mincho"/>
        </w:rPr>
        <w:tab/>
        <w:t xml:space="preserve">24/25/29,97/30 Frames/s (NTSC/PAL Blackburst, HDTV Tri–Level)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Anschluss WORD/VIDEO THRU, WORD OUT </w:t>
      </w:r>
      <w:r>
        <w:rPr>
          <w:rFonts w:eastAsia="MS Mincho"/>
        </w:rPr>
        <w:tab/>
        <w:t xml:space="preserve">BNC (Durchgang (THRU) nur für Videoclocksignal)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>  Aus</w:t>
      </w:r>
      <w:r>
        <w:rPr>
          <w:rFonts w:eastAsia="MS Mincho"/>
        </w:rPr>
        <w:t xml:space="preserve">gangsspannung </w:t>
      </w:r>
      <w:r>
        <w:rPr>
          <w:rFonts w:eastAsia="MS Mincho"/>
        </w:rPr>
        <w:tab/>
        <w:t xml:space="preserve">5 V (TTL-Pegel)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  Ausgangsfrequenz (WORD) </w:t>
      </w:r>
      <w:r>
        <w:rPr>
          <w:rFonts w:eastAsia="MS Mincho"/>
        </w:rPr>
        <w:tab/>
        <w:t xml:space="preserve">44,1 kHz, 48 kHz, 88,2 kHz, 96 kHz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Netzwerkanschluss (ETHERNET) </w:t>
      </w:r>
      <w:r>
        <w:rPr>
          <w:rFonts w:eastAsia="MS Mincho"/>
        </w:rPr>
        <w:tab/>
        <w:t xml:space="preserve">RJ45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  Kompatible Standards </w:t>
      </w:r>
      <w:r>
        <w:rPr>
          <w:rFonts w:eastAsia="MS Mincho"/>
        </w:rPr>
        <w:tab/>
        <w:t xml:space="preserve">100BASE-TX, 1000BASE-T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RS-422-Schnittstelle </w:t>
      </w:r>
      <w:r>
        <w:rPr>
          <w:rFonts w:eastAsia="MS Mincho"/>
        </w:rPr>
        <w:tab/>
        <w:t xml:space="preserve">Sub-D-Buchse, 9-polig (weiblich, Zollgewinde)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>Parallel</w:t>
      </w:r>
      <w:r>
        <w:rPr>
          <w:rFonts w:eastAsia="MS Mincho"/>
        </w:rPr>
        <w:t xml:space="preserve">schnittstelle </w:t>
      </w:r>
      <w:r>
        <w:rPr>
          <w:rFonts w:eastAsia="MS Mincho"/>
        </w:rPr>
        <w:tab/>
        <w:t xml:space="preserve">Sub-D-Buchse, 15-polig (weiblich, Zollgewinde) </w:t>
      </w:r>
    </w:p>
    <w:p w:rsidR="00000000" w:rsidRDefault="002A5A52">
      <w:pPr>
        <w:pStyle w:val="TD"/>
        <w:rPr>
          <w:rFonts w:eastAsia="MS Mincho"/>
        </w:rPr>
      </w:pPr>
    </w:p>
    <w:p w:rsidR="00000000" w:rsidRDefault="002A5A52">
      <w:pPr>
        <w:pStyle w:val="TDHeader"/>
        <w:rPr>
          <w:rFonts w:eastAsia="MS Mincho"/>
        </w:rPr>
      </w:pPr>
      <w:r>
        <w:rPr>
          <w:rFonts w:eastAsia="MS Mincho"/>
        </w:rPr>
        <w:t>Stromversorgung und sonstige Daten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Stromversorgung </w:t>
      </w:r>
      <w:r>
        <w:rPr>
          <w:rFonts w:eastAsia="MS Mincho"/>
        </w:rPr>
        <w:tab/>
        <w:t xml:space="preserve">AC 100–240 V, 50–60 Hz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Leistungsaufnahme </w:t>
      </w:r>
      <w:r>
        <w:rPr>
          <w:rFonts w:eastAsia="MS Mincho"/>
        </w:rPr>
        <w:tab/>
        <w:t xml:space="preserve">21 W (mit installierter IF-MA64/EX)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Abmessungen (B × H × T) </w:t>
      </w:r>
      <w:r>
        <w:rPr>
          <w:rFonts w:eastAsia="MS Mincho"/>
        </w:rPr>
        <w:tab/>
        <w:t xml:space="preserve">483 mm × 45 mm × 305 mm 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Gewicht </w:t>
      </w:r>
      <w:r>
        <w:rPr>
          <w:rFonts w:eastAsia="MS Mincho"/>
        </w:rPr>
        <w:tab/>
        <w:t>D</w:t>
      </w:r>
      <w:r>
        <w:rPr>
          <w:rFonts w:eastAsia="MS Mincho"/>
        </w:rPr>
        <w:t>A-6400: 3,9 kg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ab/>
      </w:r>
      <w:r>
        <w:rPr>
          <w:rFonts w:eastAsia="MS Mincho"/>
        </w:rPr>
        <w:tab/>
        <w:t>DA-6400dp: 4 kg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ab/>
      </w:r>
      <w:r>
        <w:rPr>
          <w:rFonts w:eastAsia="MS Mincho"/>
        </w:rPr>
        <w:tab/>
        <w:t>(ohne optionale Interfacekarte und ohne SSD/HDD­Wechselrahmen)</w:t>
      </w:r>
    </w:p>
    <w:p w:rsidR="00000000" w:rsidRDefault="002A5A52">
      <w:pPr>
        <w:pStyle w:val="TD"/>
        <w:rPr>
          <w:rFonts w:eastAsia="MS Mincho"/>
        </w:rPr>
      </w:pPr>
      <w:r>
        <w:rPr>
          <w:rFonts w:eastAsia="MS Mincho"/>
        </w:rPr>
        <w:t xml:space="preserve">Zulässiger Betriebstemperaturbereich </w:t>
      </w:r>
      <w:r>
        <w:rPr>
          <w:rFonts w:eastAsia="MS Mincho"/>
        </w:rPr>
        <w:tab/>
        <w:t>0–40 °C</w:t>
      </w:r>
    </w:p>
    <w:p w:rsidR="00000000" w:rsidRDefault="002A5A52">
      <w:pPr>
        <w:pStyle w:val="TD"/>
        <w:rPr>
          <w:rFonts w:eastAsia="MS Mincho"/>
        </w:rPr>
      </w:pPr>
    </w:p>
    <w:p w:rsidR="00000000" w:rsidRDefault="002A5A52">
      <w:pPr>
        <w:pStyle w:val="TD"/>
      </w:pPr>
    </w:p>
    <w:p w:rsidR="00000000" w:rsidRDefault="002A5A52">
      <w:pPr>
        <w:pStyle w:val="TD"/>
      </w:pPr>
      <w:r>
        <w:t>Fabrikat:</w:t>
      </w:r>
      <w:r>
        <w:tab/>
        <w:t>Tascam</w:t>
      </w:r>
    </w:p>
    <w:p w:rsidR="00000000" w:rsidRDefault="002A5A52">
      <w:pPr>
        <w:pStyle w:val="TD"/>
      </w:pPr>
      <w:r>
        <w:t>Modell:</w:t>
      </w:r>
      <w:r>
        <w:tab/>
        <w:t>DA-6400</w:t>
      </w:r>
    </w:p>
    <w:p w:rsidR="00000000" w:rsidRDefault="002A5A52">
      <w:pPr>
        <w:pStyle w:val="TD"/>
      </w:pPr>
    </w:p>
    <w:p w:rsidR="002A5A52" w:rsidRDefault="002A5A52">
      <w:pPr>
        <w:pStyle w:val="TD"/>
      </w:pPr>
      <w:r>
        <w:t>Änderungen an Konstruktion und technischen Daten vorbehalten.</w:t>
      </w:r>
    </w:p>
    <w:sectPr w:rsidR="002A5A52">
      <w:pgSz w:w="12240" w:h="15840"/>
      <w:pgMar w:top="1417" w:right="1417" w:bottom="1134" w:left="1417" w:header="709" w:footer="709" w:gutter="0"/>
      <w:cols w:space="709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rutiger 55 Roman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utiger 55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ÇlÇr ñæí©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9A2C0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1FA3C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F981C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D60FC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93635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7F80E1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56927C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5F56CC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8EF82C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68EEB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33AE5265"/>
    <w:multiLevelType w:val="hybridMultilevel"/>
    <w:tmpl w:val="4614D61E"/>
    <w:lvl w:ilvl="0" w:tplc="ED0A32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F7EA61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E1AE7A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AC363FE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5E5A117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40B24D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26829FD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EFAACD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CA141C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>
    <w:nsid w:val="512F2F4A"/>
    <w:multiLevelType w:val="hybridMultilevel"/>
    <w:tmpl w:val="EE165C5E"/>
    <w:lvl w:ilvl="0" w:tplc="ED0A329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defaultTabStop w:val="720"/>
  <w:hyphenationZone w:val="68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6D5"/>
    <w:rsid w:val="00085EAF"/>
    <w:rsid w:val="002A5A52"/>
    <w:rsid w:val="0043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autoSpaceDE w:val="0"/>
      <w:autoSpaceDN w:val="0"/>
      <w:spacing w:after="0" w:line="240" w:lineRule="auto"/>
    </w:pPr>
    <w:rPr>
      <w:rFonts w:ascii="Arial" w:hAnsi="Arial" w:cs="Arial"/>
      <w:sz w:val="18"/>
      <w:szCs w:val="18"/>
      <w:lang w:val="de-DE" w:eastAsia="de-DE"/>
    </w:rPr>
  </w:style>
  <w:style w:type="paragraph" w:styleId="berschrift1">
    <w:name w:val="heading 1"/>
    <w:basedOn w:val="Standard"/>
    <w:link w:val="berschrift1Zchn"/>
    <w:uiPriority w:val="99"/>
    <w:qFormat/>
    <w:pPr>
      <w:autoSpaceDE/>
      <w:autoSpaceDN/>
      <w:spacing w:before="100" w:beforeAutospacing="1" w:after="100" w:afterAutospacing="1"/>
      <w:outlineLvl w:val="0"/>
    </w:pPr>
    <w:rPr>
      <w:rFonts w:ascii="Arial Unicode MS" w:eastAsia="Arial Unicode MS" w:cs="Arial Unicode MS"/>
      <w:b/>
      <w:bCs/>
      <w:kern w:val="36"/>
      <w:sz w:val="48"/>
      <w:szCs w:val="48"/>
    </w:rPr>
  </w:style>
  <w:style w:type="paragraph" w:styleId="berschrift3">
    <w:name w:val="heading 3"/>
    <w:basedOn w:val="Standard"/>
    <w:link w:val="berschrift3Zchn"/>
    <w:uiPriority w:val="99"/>
    <w:qFormat/>
    <w:pPr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de-DE" w:eastAsia="de-DE"/>
    </w:rPr>
  </w:style>
  <w:style w:type="paragraph" w:customStyle="1" w:styleId="Optionen">
    <w:name w:val="Optionen"/>
    <w:basedOn w:val="Flietext"/>
    <w:next w:val="Flietext"/>
    <w:uiPriority w:val="99"/>
    <w:pPr>
      <w:tabs>
        <w:tab w:val="left" w:pos="850"/>
      </w:tabs>
      <w:spacing w:line="240" w:lineRule="atLeast"/>
    </w:pPr>
    <w:rPr>
      <w:color w:val="auto"/>
    </w:rPr>
  </w:style>
  <w:style w:type="paragraph" w:customStyle="1" w:styleId="Flietext">
    <w:name w:val="Fließtext"/>
    <w:autoRedefine/>
    <w:uiPriority w:val="99"/>
    <w:pPr>
      <w:widowControl w:val="0"/>
      <w:autoSpaceDE w:val="0"/>
      <w:autoSpaceDN w:val="0"/>
      <w:spacing w:after="113" w:line="300" w:lineRule="atLeast"/>
    </w:pPr>
    <w:rPr>
      <w:rFonts w:ascii="Arial" w:hAnsi="Arial" w:cs="Arial"/>
      <w:color w:val="000000"/>
      <w:sz w:val="16"/>
      <w:szCs w:val="16"/>
      <w:lang w:val="de-DE" w:eastAsia="de-DE"/>
    </w:rPr>
  </w:style>
  <w:style w:type="paragraph" w:customStyle="1" w:styleId="FlieHeader">
    <w:name w:val="Fließ Header"/>
    <w:basedOn w:val="Flietext"/>
    <w:next w:val="Flietext"/>
    <w:autoRedefine/>
    <w:uiPriority w:val="99"/>
    <w:pPr>
      <w:spacing w:after="57"/>
    </w:pPr>
    <w:rPr>
      <w:b/>
      <w:bCs/>
      <w:color w:val="auto"/>
    </w:rPr>
  </w:style>
  <w:style w:type="paragraph" w:customStyle="1" w:styleId="TD">
    <w:name w:val="TD"/>
    <w:basedOn w:val="Flietext"/>
    <w:next w:val="Flietext"/>
    <w:uiPriority w:val="99"/>
    <w:pPr>
      <w:tabs>
        <w:tab w:val="right" w:pos="113"/>
        <w:tab w:val="right" w:leader="dot" w:pos="9072"/>
      </w:tabs>
      <w:spacing w:after="0" w:line="160" w:lineRule="atLeast"/>
      <w:ind w:left="113" w:hanging="113"/>
    </w:pPr>
    <w:rPr>
      <w:color w:val="auto"/>
    </w:rPr>
  </w:style>
  <w:style w:type="paragraph" w:customStyle="1" w:styleId="TDHeader">
    <w:name w:val="TD Header"/>
    <w:basedOn w:val="Flietext"/>
    <w:next w:val="Flietext"/>
    <w:autoRedefine/>
    <w:uiPriority w:val="99"/>
    <w:pPr>
      <w:spacing w:after="57" w:line="160" w:lineRule="atLeast"/>
    </w:pPr>
    <w:rPr>
      <w:b/>
      <w:bCs/>
      <w:color w:val="auto"/>
    </w:rPr>
  </w:style>
  <w:style w:type="paragraph" w:styleId="Kopfzeile">
    <w:name w:val="header"/>
    <w:basedOn w:val="Standard"/>
    <w:link w:val="KopfzeileZchn"/>
    <w:uiPriority w:val="99"/>
    <w:pPr>
      <w:widowControl w:val="0"/>
      <w:jc w:val="right"/>
    </w:pPr>
    <w:rPr>
      <w:rFonts w:ascii="Frutiger 55 Roman" w:hAnsi="Frutiger 55 Roman" w:cs="Frutiger 55 Roman"/>
      <w:sz w:val="48"/>
      <w:szCs w:val="48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Pr>
      <w:rFonts w:ascii="Arial" w:hAnsi="Arial" w:cs="Arial"/>
      <w:sz w:val="18"/>
      <w:szCs w:val="18"/>
      <w:lang w:val="de-DE" w:eastAsia="de-DE"/>
    </w:rPr>
  </w:style>
  <w:style w:type="paragraph" w:customStyle="1" w:styleId="Zwischenberschrift">
    <w:name w:val="Zwischenüberschrift"/>
    <w:basedOn w:val="Flietext"/>
    <w:next w:val="Flietext"/>
    <w:uiPriority w:val="99"/>
    <w:pPr>
      <w:widowControl/>
      <w:spacing w:after="57"/>
    </w:pPr>
    <w:rPr>
      <w:rFonts w:ascii="Frutiger 55" w:hAnsi="Frutiger 55" w:cs="Frutiger 55"/>
      <w:color w:val="auto"/>
      <w:sz w:val="20"/>
      <w:szCs w:val="20"/>
    </w:rPr>
  </w:style>
  <w:style w:type="paragraph" w:customStyle="1" w:styleId="Aufzhlung">
    <w:name w:val="Aufzählung"/>
    <w:basedOn w:val="Flietext"/>
    <w:uiPriority w:val="99"/>
    <w:pPr>
      <w:widowControl/>
      <w:tabs>
        <w:tab w:val="left" w:pos="227"/>
      </w:tabs>
      <w:spacing w:after="57" w:line="260" w:lineRule="atLeast"/>
      <w:ind w:left="227" w:hanging="227"/>
    </w:pPr>
    <w:rPr>
      <w:rFonts w:ascii="Frutiger 55 Roman" w:hAnsi="Frutiger 55 Roman" w:cs="Frutiger 55 Roman"/>
      <w:color w:val="auto"/>
      <w:sz w:val="20"/>
      <w:szCs w:val="20"/>
    </w:rPr>
  </w:style>
  <w:style w:type="paragraph" w:customStyle="1" w:styleId="TDSubtitel">
    <w:name w:val="TD Subtitel"/>
    <w:basedOn w:val="TD"/>
    <w:next w:val="TD"/>
    <w:uiPriority w:val="99"/>
    <w:pPr>
      <w:widowControl/>
      <w:pBdr>
        <w:bottom w:val="single" w:sz="2" w:space="0" w:color="auto"/>
        <w:between w:val="single" w:sz="2" w:space="1" w:color="auto"/>
      </w:pBdr>
      <w:tabs>
        <w:tab w:val="clear" w:pos="113"/>
        <w:tab w:val="clear" w:pos="9072"/>
        <w:tab w:val="left" w:pos="170"/>
        <w:tab w:val="left" w:pos="2551"/>
      </w:tabs>
      <w:spacing w:after="57" w:line="220" w:lineRule="atLeast"/>
      <w:ind w:left="0" w:firstLine="0"/>
    </w:pPr>
    <w:rPr>
      <w:rFonts w:ascii="Frutiger 55" w:hAnsi="Frutiger 55" w:cs="Frutiger 55"/>
    </w:rPr>
  </w:style>
  <w:style w:type="paragraph" w:customStyle="1" w:styleId="Features">
    <w:name w:val="Features"/>
    <w:basedOn w:val="Standard"/>
    <w:uiPriority w:val="99"/>
    <w:pPr>
      <w:widowControl w:val="0"/>
      <w:tabs>
        <w:tab w:val="left" w:pos="227"/>
      </w:tabs>
      <w:spacing w:after="57" w:line="260" w:lineRule="atLeast"/>
      <w:ind w:left="227" w:hanging="227"/>
    </w:pPr>
    <w:rPr>
      <w:rFonts w:ascii="Frutiger 55 Roman" w:hAnsi="Frutiger 55 Roman" w:cs="Frutiger 55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autoSpaceDE w:val="0"/>
      <w:autoSpaceDN w:val="0"/>
      <w:spacing w:after="0" w:line="240" w:lineRule="auto"/>
    </w:pPr>
    <w:rPr>
      <w:rFonts w:ascii="Arial" w:hAnsi="Arial" w:cs="Arial"/>
      <w:sz w:val="18"/>
      <w:szCs w:val="18"/>
      <w:lang w:val="de-DE" w:eastAsia="de-DE"/>
    </w:rPr>
  </w:style>
  <w:style w:type="paragraph" w:styleId="berschrift1">
    <w:name w:val="heading 1"/>
    <w:basedOn w:val="Standard"/>
    <w:link w:val="berschrift1Zchn"/>
    <w:uiPriority w:val="99"/>
    <w:qFormat/>
    <w:pPr>
      <w:autoSpaceDE/>
      <w:autoSpaceDN/>
      <w:spacing w:before="100" w:beforeAutospacing="1" w:after="100" w:afterAutospacing="1"/>
      <w:outlineLvl w:val="0"/>
    </w:pPr>
    <w:rPr>
      <w:rFonts w:ascii="Arial Unicode MS" w:eastAsia="Arial Unicode MS" w:cs="Arial Unicode MS"/>
      <w:b/>
      <w:bCs/>
      <w:kern w:val="36"/>
      <w:sz w:val="48"/>
      <w:szCs w:val="48"/>
    </w:rPr>
  </w:style>
  <w:style w:type="paragraph" w:styleId="berschrift3">
    <w:name w:val="heading 3"/>
    <w:basedOn w:val="Standard"/>
    <w:link w:val="berschrift3Zchn"/>
    <w:uiPriority w:val="99"/>
    <w:qFormat/>
    <w:pPr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de-DE" w:eastAsia="de-DE"/>
    </w:rPr>
  </w:style>
  <w:style w:type="paragraph" w:customStyle="1" w:styleId="Optionen">
    <w:name w:val="Optionen"/>
    <w:basedOn w:val="Flietext"/>
    <w:next w:val="Flietext"/>
    <w:uiPriority w:val="99"/>
    <w:pPr>
      <w:tabs>
        <w:tab w:val="left" w:pos="850"/>
      </w:tabs>
      <w:spacing w:line="240" w:lineRule="atLeast"/>
    </w:pPr>
    <w:rPr>
      <w:color w:val="auto"/>
    </w:rPr>
  </w:style>
  <w:style w:type="paragraph" w:customStyle="1" w:styleId="Flietext">
    <w:name w:val="Fließtext"/>
    <w:autoRedefine/>
    <w:uiPriority w:val="99"/>
    <w:pPr>
      <w:widowControl w:val="0"/>
      <w:autoSpaceDE w:val="0"/>
      <w:autoSpaceDN w:val="0"/>
      <w:spacing w:after="113" w:line="300" w:lineRule="atLeast"/>
    </w:pPr>
    <w:rPr>
      <w:rFonts w:ascii="Arial" w:hAnsi="Arial" w:cs="Arial"/>
      <w:color w:val="000000"/>
      <w:sz w:val="16"/>
      <w:szCs w:val="16"/>
      <w:lang w:val="de-DE" w:eastAsia="de-DE"/>
    </w:rPr>
  </w:style>
  <w:style w:type="paragraph" w:customStyle="1" w:styleId="FlieHeader">
    <w:name w:val="Fließ Header"/>
    <w:basedOn w:val="Flietext"/>
    <w:next w:val="Flietext"/>
    <w:autoRedefine/>
    <w:uiPriority w:val="99"/>
    <w:pPr>
      <w:spacing w:after="57"/>
    </w:pPr>
    <w:rPr>
      <w:b/>
      <w:bCs/>
      <w:color w:val="auto"/>
    </w:rPr>
  </w:style>
  <w:style w:type="paragraph" w:customStyle="1" w:styleId="TD">
    <w:name w:val="TD"/>
    <w:basedOn w:val="Flietext"/>
    <w:next w:val="Flietext"/>
    <w:uiPriority w:val="99"/>
    <w:pPr>
      <w:tabs>
        <w:tab w:val="right" w:pos="113"/>
        <w:tab w:val="right" w:leader="dot" w:pos="9072"/>
      </w:tabs>
      <w:spacing w:after="0" w:line="160" w:lineRule="atLeast"/>
      <w:ind w:left="113" w:hanging="113"/>
    </w:pPr>
    <w:rPr>
      <w:color w:val="auto"/>
    </w:rPr>
  </w:style>
  <w:style w:type="paragraph" w:customStyle="1" w:styleId="TDHeader">
    <w:name w:val="TD Header"/>
    <w:basedOn w:val="Flietext"/>
    <w:next w:val="Flietext"/>
    <w:autoRedefine/>
    <w:uiPriority w:val="99"/>
    <w:pPr>
      <w:spacing w:after="57" w:line="160" w:lineRule="atLeast"/>
    </w:pPr>
    <w:rPr>
      <w:b/>
      <w:bCs/>
      <w:color w:val="auto"/>
    </w:rPr>
  </w:style>
  <w:style w:type="paragraph" w:styleId="Kopfzeile">
    <w:name w:val="header"/>
    <w:basedOn w:val="Standard"/>
    <w:link w:val="KopfzeileZchn"/>
    <w:uiPriority w:val="99"/>
    <w:pPr>
      <w:widowControl w:val="0"/>
      <w:jc w:val="right"/>
    </w:pPr>
    <w:rPr>
      <w:rFonts w:ascii="Frutiger 55 Roman" w:hAnsi="Frutiger 55 Roman" w:cs="Frutiger 55 Roman"/>
      <w:sz w:val="48"/>
      <w:szCs w:val="48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Pr>
      <w:rFonts w:ascii="Arial" w:hAnsi="Arial" w:cs="Arial"/>
      <w:sz w:val="18"/>
      <w:szCs w:val="18"/>
      <w:lang w:val="de-DE" w:eastAsia="de-DE"/>
    </w:rPr>
  </w:style>
  <w:style w:type="paragraph" w:customStyle="1" w:styleId="Zwischenberschrift">
    <w:name w:val="Zwischenüberschrift"/>
    <w:basedOn w:val="Flietext"/>
    <w:next w:val="Flietext"/>
    <w:uiPriority w:val="99"/>
    <w:pPr>
      <w:widowControl/>
      <w:spacing w:after="57"/>
    </w:pPr>
    <w:rPr>
      <w:rFonts w:ascii="Frutiger 55" w:hAnsi="Frutiger 55" w:cs="Frutiger 55"/>
      <w:color w:val="auto"/>
      <w:sz w:val="20"/>
      <w:szCs w:val="20"/>
    </w:rPr>
  </w:style>
  <w:style w:type="paragraph" w:customStyle="1" w:styleId="Aufzhlung">
    <w:name w:val="Aufzählung"/>
    <w:basedOn w:val="Flietext"/>
    <w:uiPriority w:val="99"/>
    <w:pPr>
      <w:widowControl/>
      <w:tabs>
        <w:tab w:val="left" w:pos="227"/>
      </w:tabs>
      <w:spacing w:after="57" w:line="260" w:lineRule="atLeast"/>
      <w:ind w:left="227" w:hanging="227"/>
    </w:pPr>
    <w:rPr>
      <w:rFonts w:ascii="Frutiger 55 Roman" w:hAnsi="Frutiger 55 Roman" w:cs="Frutiger 55 Roman"/>
      <w:color w:val="auto"/>
      <w:sz w:val="20"/>
      <w:szCs w:val="20"/>
    </w:rPr>
  </w:style>
  <w:style w:type="paragraph" w:customStyle="1" w:styleId="TDSubtitel">
    <w:name w:val="TD Subtitel"/>
    <w:basedOn w:val="TD"/>
    <w:next w:val="TD"/>
    <w:uiPriority w:val="99"/>
    <w:pPr>
      <w:widowControl/>
      <w:pBdr>
        <w:bottom w:val="single" w:sz="2" w:space="0" w:color="auto"/>
        <w:between w:val="single" w:sz="2" w:space="1" w:color="auto"/>
      </w:pBdr>
      <w:tabs>
        <w:tab w:val="clear" w:pos="113"/>
        <w:tab w:val="clear" w:pos="9072"/>
        <w:tab w:val="left" w:pos="170"/>
        <w:tab w:val="left" w:pos="2551"/>
      </w:tabs>
      <w:spacing w:after="57" w:line="220" w:lineRule="atLeast"/>
      <w:ind w:left="0" w:firstLine="0"/>
    </w:pPr>
    <w:rPr>
      <w:rFonts w:ascii="Frutiger 55" w:hAnsi="Frutiger 55" w:cs="Frutiger 55"/>
    </w:rPr>
  </w:style>
  <w:style w:type="paragraph" w:customStyle="1" w:styleId="Features">
    <w:name w:val="Features"/>
    <w:basedOn w:val="Standard"/>
    <w:uiPriority w:val="99"/>
    <w:pPr>
      <w:widowControl w:val="0"/>
      <w:tabs>
        <w:tab w:val="left" w:pos="227"/>
      </w:tabs>
      <w:spacing w:after="57" w:line="260" w:lineRule="atLeast"/>
      <w:ind w:left="227" w:hanging="227"/>
    </w:pPr>
    <w:rPr>
      <w:rFonts w:ascii="Frutiger 55 Roman" w:hAnsi="Frutiger 55 Roman" w:cs="Frutiger 55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64-Spur-Audiorecorder DA-6400</vt:lpstr>
    </vt:vector>
  </TitlesOfParts>
  <Company>jochen-dornheim.de</Company>
  <LinksUpToDate>false</LinksUpToDate>
  <CharactersWithSpaces>5126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64-Spur-Audiorecorder DA-6400</dc:title>
  <dc:creator>Jochen Dornheim</dc:creator>
  <cp:lastModifiedBy>Andy Keller</cp:lastModifiedBy>
  <cp:revision>2</cp:revision>
  <dcterms:created xsi:type="dcterms:W3CDTF">2016-06-09T14:34:00Z</dcterms:created>
  <dcterms:modified xsi:type="dcterms:W3CDTF">2016-06-09T14:34:00Z</dcterms:modified>
</cp:coreProperties>
</file>